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6B521" w14:textId="3B8F5722" w:rsidR="00352511" w:rsidRDefault="00352511" w:rsidP="00352511">
      <w:bookmarkStart w:id="0" w:name="_GoBack"/>
      <w:bookmarkEnd w:id="0"/>
      <w:r>
        <w:t xml:space="preserve">                                </w:t>
      </w:r>
      <w:r>
        <w:rPr>
          <w:rFonts w:ascii="Arial" w:eastAsia="Times New Roman" w:hAnsi="Arial" w:cs="Arial"/>
          <w:b/>
          <w:noProof/>
        </w:rPr>
        <w:drawing>
          <wp:inline distT="0" distB="0" distL="0" distR="0" wp14:anchorId="5BB9140A" wp14:editId="69ECC6B1">
            <wp:extent cx="664845" cy="659765"/>
            <wp:effectExtent l="0" t="0" r="1905" b="6985"/>
            <wp:docPr id="2" name="Slika 2" descr="logozv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zvv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</w:t>
      </w:r>
      <w:r>
        <w:object w:dxaOrig="1080" w:dyaOrig="1020" w14:anchorId="6642A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1pt" o:ole="" fillcolor="window">
            <v:imagedata r:id="rId9" o:title=""/>
          </v:shape>
          <o:OLEObject Type="Embed" ProgID="CorelDRAW.Graphic.10" ShapeID="_x0000_i1025" DrawAspect="Content" ObjectID="_1688618095" r:id="rId10"/>
        </w:object>
      </w:r>
    </w:p>
    <w:p w14:paraId="249F838A" w14:textId="77777777" w:rsidR="00352511" w:rsidRDefault="00352511" w:rsidP="003525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Območno združenje veteranov vojne za Slovenijo                       Policijsko veteransko društvo</w:t>
      </w:r>
    </w:p>
    <w:p w14:paraId="168602BA" w14:textId="77777777" w:rsidR="00352511" w:rsidRDefault="00352511" w:rsidP="003525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občin Kungota, Pesnica in Šentilj                                                    Sever – Maribor</w:t>
      </w:r>
    </w:p>
    <w:p w14:paraId="2E2358E3" w14:textId="77777777" w:rsidR="00352511" w:rsidRDefault="00352511" w:rsidP="003525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Pesnica 41, 2211 Pesnica                                     Maistrova ulica 2, 2000 Maribor</w:t>
      </w:r>
    </w:p>
    <w:p w14:paraId="632CC912" w14:textId="3DFB0370" w:rsidR="00F0129F" w:rsidRDefault="00F0129F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61BFBEC5" w14:textId="77777777" w:rsidR="009948A2" w:rsidRDefault="009948A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36BDAFD9" w14:textId="33FBEFD7" w:rsidR="000E22E2" w:rsidRPr="00D365EE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D365EE">
        <w:rPr>
          <w:rFonts w:eastAsia="Times New Roman" w:cstheme="minorHAnsi"/>
          <w:b/>
          <w:bCs/>
          <w:color w:val="222222"/>
          <w:sz w:val="28"/>
          <w:szCs w:val="28"/>
        </w:rPr>
        <w:t>Urad vlade republike Slovenije za komuniciranje</w:t>
      </w:r>
    </w:p>
    <w:p w14:paraId="7CCD9CE5" w14:textId="37C146D5" w:rsidR="000E22E2" w:rsidRPr="00D365EE" w:rsidRDefault="009948A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8"/>
          <w:szCs w:val="28"/>
        </w:rPr>
      </w:pPr>
      <w:r w:rsidRPr="00D365EE">
        <w:rPr>
          <w:rFonts w:eastAsia="Times New Roman" w:cstheme="minorHAnsi"/>
          <w:b/>
          <w:bCs/>
          <w:color w:val="222222"/>
          <w:sz w:val="28"/>
          <w:szCs w:val="28"/>
        </w:rPr>
        <w:t>Gregorčičeva ulica 25</w:t>
      </w:r>
    </w:p>
    <w:p w14:paraId="0CC7279C" w14:textId="4F47310F" w:rsidR="009948A2" w:rsidRPr="00D365EE" w:rsidRDefault="009948A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8"/>
          <w:szCs w:val="28"/>
        </w:rPr>
      </w:pPr>
    </w:p>
    <w:p w14:paraId="7931FEC9" w14:textId="3D869533" w:rsidR="009948A2" w:rsidRPr="00D365EE" w:rsidRDefault="009948A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8"/>
          <w:szCs w:val="28"/>
        </w:rPr>
      </w:pPr>
      <w:r w:rsidRPr="00D365EE">
        <w:rPr>
          <w:rFonts w:eastAsia="Times New Roman" w:cstheme="minorHAnsi"/>
          <w:b/>
          <w:bCs/>
          <w:color w:val="222222"/>
          <w:sz w:val="28"/>
          <w:szCs w:val="28"/>
        </w:rPr>
        <w:t>1000 LJUBLJANA</w:t>
      </w:r>
    </w:p>
    <w:p w14:paraId="6F16965F" w14:textId="77777777" w:rsidR="009948A2" w:rsidRPr="00B95EDB" w:rsidRDefault="009948A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2E2A663C" w14:textId="77777777" w:rsidR="000E22E2" w:rsidRPr="00B95EDB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260FFB30" w14:textId="574FD737" w:rsidR="000E22E2" w:rsidRPr="009948A2" w:rsidRDefault="009948A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</w:rPr>
      </w:pPr>
      <w:r w:rsidRPr="009948A2">
        <w:rPr>
          <w:rFonts w:eastAsia="Times New Roman" w:cstheme="minorHAnsi"/>
          <w:b/>
          <w:bCs/>
          <w:color w:val="222222"/>
          <w:sz w:val="28"/>
          <w:szCs w:val="28"/>
        </w:rPr>
        <w:t>ZAHTEVA ZA POPRAVEK NETOČNOSTI IN JAVNO OPRAVIČILO</w:t>
      </w:r>
    </w:p>
    <w:p w14:paraId="1AEF2E05" w14:textId="2D00416F" w:rsidR="000E22E2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7DDAFABD" w14:textId="77777777" w:rsidR="009948A2" w:rsidRPr="00B95EDB" w:rsidRDefault="009948A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4E2434BB" w14:textId="44D783FC" w:rsidR="000E22E2" w:rsidRPr="00B95EDB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B95EDB">
        <w:rPr>
          <w:rFonts w:eastAsia="Times New Roman" w:cstheme="minorHAnsi"/>
          <w:color w:val="222222"/>
          <w:sz w:val="28"/>
          <w:szCs w:val="28"/>
        </w:rPr>
        <w:t>Spoštovani,</w:t>
      </w:r>
    </w:p>
    <w:p w14:paraId="5394128C" w14:textId="77777777" w:rsidR="000E22E2" w:rsidRPr="00B95EDB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</w:rPr>
      </w:pPr>
    </w:p>
    <w:p w14:paraId="5E07D109" w14:textId="6F91F8A6" w:rsidR="000E22E2" w:rsidRPr="00C7531F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7531F">
        <w:rPr>
          <w:rFonts w:eastAsia="Times New Roman" w:cstheme="minorHAnsi"/>
          <w:sz w:val="28"/>
          <w:szCs w:val="28"/>
        </w:rPr>
        <w:t>slovenska gospodinjstva so v začetku meseca julija prejela brezplačno brošuro z naslovom Stali smo in obstali, ki je izšla v nakladi 800 tisoč izvodov. Namenoma se ne želimo ustavljati ob mestoma izrazito enostranski, politično motivirani in izključujoči interpretaciji dogajanja ter izboru uvodničarjev – kje je predsednik Državnega zbora, če je po le vam znanem ključu dobil priložnost predsednik Državnega sveta</w:t>
      </w:r>
      <w:r w:rsidR="00122E52" w:rsidRPr="00C7531F">
        <w:rPr>
          <w:rFonts w:eastAsia="Times New Roman" w:cstheme="minorHAnsi"/>
          <w:sz w:val="28"/>
          <w:szCs w:val="28"/>
        </w:rPr>
        <w:t xml:space="preserve"> in</w:t>
      </w:r>
      <w:r w:rsidRPr="00C7531F">
        <w:rPr>
          <w:rFonts w:eastAsia="Times New Roman" w:cstheme="minorHAnsi"/>
          <w:sz w:val="28"/>
          <w:szCs w:val="28"/>
        </w:rPr>
        <w:t xml:space="preserve"> </w:t>
      </w:r>
      <w:r w:rsidR="00AD0153">
        <w:rPr>
          <w:rFonts w:eastAsia="Times New Roman" w:cstheme="minorHAnsi"/>
          <w:sz w:val="28"/>
          <w:szCs w:val="28"/>
        </w:rPr>
        <w:t xml:space="preserve">kje </w:t>
      </w:r>
      <w:r w:rsidRPr="00C7531F">
        <w:rPr>
          <w:rFonts w:eastAsia="Times New Roman" w:cstheme="minorHAnsi"/>
          <w:sz w:val="28"/>
          <w:szCs w:val="28"/>
        </w:rPr>
        <w:t>je tedanji predsednik predsedstva?</w:t>
      </w:r>
    </w:p>
    <w:p w14:paraId="592E1971" w14:textId="77777777" w:rsidR="000E22E2" w:rsidRPr="00C7531F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6CEB1DB5" w14:textId="3CE2223A" w:rsidR="000E22E2" w:rsidRPr="00C7531F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7531F">
        <w:rPr>
          <w:rFonts w:eastAsia="Times New Roman" w:cstheme="minorHAnsi"/>
          <w:sz w:val="28"/>
          <w:szCs w:val="28"/>
        </w:rPr>
        <w:t>Brošura prinaša izrazit spodrsljaj, čas in način vaše reakcije pa bo pokazal ali tudi namerno zavajanje</w:t>
      </w:r>
      <w:r w:rsidR="00A173D8" w:rsidRPr="00C7531F">
        <w:rPr>
          <w:rFonts w:eastAsia="Times New Roman" w:cstheme="minorHAnsi"/>
          <w:sz w:val="28"/>
          <w:szCs w:val="28"/>
        </w:rPr>
        <w:t>. N</w:t>
      </w:r>
      <w:r w:rsidRPr="00C7531F">
        <w:rPr>
          <w:rFonts w:eastAsia="Times New Roman" w:cstheme="minorHAnsi"/>
          <w:sz w:val="28"/>
          <w:szCs w:val="28"/>
        </w:rPr>
        <w:t>a strani 19, kjer pod oznako 2. julij 1991 med drugim beremo: »</w:t>
      </w:r>
      <w:r w:rsidRPr="00C7531F">
        <w:rPr>
          <w:rFonts w:eastAsia="Times New Roman" w:cstheme="minorHAnsi"/>
          <w:i/>
          <w:iCs/>
          <w:sz w:val="28"/>
          <w:szCs w:val="28"/>
        </w:rPr>
        <w:t>TO je zavzela mejni prehod Šentilj</w:t>
      </w:r>
      <w:r w:rsidRPr="00C7531F">
        <w:rPr>
          <w:rFonts w:eastAsia="Times New Roman" w:cstheme="minorHAnsi"/>
          <w:sz w:val="28"/>
          <w:szCs w:val="28"/>
        </w:rPr>
        <w:t>«. Trditev je neresnična in zavajajoča, povsem natančno – zapisala se vam je laž. Mednarodni mejni prehod Šentilj je bil ves čas osamosvojitvene vojne v rokah pripadnikov slovenske milice in TO</w:t>
      </w:r>
      <w:r w:rsidR="004179E0" w:rsidRPr="00C7531F">
        <w:rPr>
          <w:rFonts w:eastAsia="Times New Roman" w:cstheme="minorHAnsi"/>
          <w:sz w:val="28"/>
          <w:szCs w:val="28"/>
        </w:rPr>
        <w:t xml:space="preserve">, na njem je ves čas visela slovenska zastava in ves čas je bil odprt za promet. </w:t>
      </w:r>
      <w:r w:rsidRPr="00C7531F">
        <w:rPr>
          <w:rFonts w:eastAsia="Times New Roman" w:cstheme="minorHAnsi"/>
          <w:sz w:val="28"/>
          <w:szCs w:val="28"/>
        </w:rPr>
        <w:t xml:space="preserve">Sklepamo, da ste kot vir za svojo trditev navedli beograjske medije, ki so v času spopadov kar štirikrat poročali, da so enote JLA zavzele mejni prehod. Žal oz. na srečo je bila beograjska trditev leta 1991, tako kot </w:t>
      </w:r>
      <w:r w:rsidR="003708DA" w:rsidRPr="00C7531F">
        <w:rPr>
          <w:rFonts w:eastAsia="Times New Roman" w:cstheme="minorHAnsi"/>
          <w:sz w:val="28"/>
          <w:szCs w:val="28"/>
        </w:rPr>
        <w:t xml:space="preserve">je </w:t>
      </w:r>
      <w:r w:rsidRPr="00C7531F">
        <w:rPr>
          <w:rFonts w:eastAsia="Times New Roman" w:cstheme="minorHAnsi"/>
          <w:sz w:val="28"/>
          <w:szCs w:val="28"/>
        </w:rPr>
        <w:t>vaša trideset let kasneje – lažna.</w:t>
      </w:r>
    </w:p>
    <w:p w14:paraId="38A4F7FC" w14:textId="3963D25A" w:rsidR="000E22E2" w:rsidRPr="00C7531F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1BFF43F0" w14:textId="2EAFE955" w:rsidR="004179E0" w:rsidRPr="00C7531F" w:rsidRDefault="00C66A35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C7531F">
        <w:rPr>
          <w:rFonts w:eastAsia="Times New Roman" w:cstheme="minorHAnsi"/>
          <w:sz w:val="28"/>
          <w:szCs w:val="28"/>
        </w:rPr>
        <w:t>Na strani 17 je prav tako napačna navedba pod 27. junij 1991 »</w:t>
      </w:r>
      <w:r w:rsidRPr="00C7531F">
        <w:rPr>
          <w:rFonts w:eastAsia="Times New Roman" w:cstheme="minorHAnsi"/>
          <w:i/>
          <w:iCs/>
          <w:sz w:val="28"/>
          <w:szCs w:val="28"/>
        </w:rPr>
        <w:t>Spopadi so bili tudi v Šentilju</w:t>
      </w:r>
      <w:r w:rsidRPr="00C7531F">
        <w:rPr>
          <w:rFonts w:eastAsia="Times New Roman" w:cstheme="minorHAnsi"/>
          <w:sz w:val="28"/>
          <w:szCs w:val="28"/>
        </w:rPr>
        <w:t xml:space="preserve">«. Tudi to ne drži. </w:t>
      </w:r>
      <w:r w:rsidR="003708DA" w:rsidRPr="00C7531F">
        <w:rPr>
          <w:rFonts w:eastAsia="Times New Roman" w:cstheme="minorHAnsi"/>
          <w:sz w:val="28"/>
          <w:szCs w:val="28"/>
        </w:rPr>
        <w:t xml:space="preserve">27. junija je bila tankovska četa JLA zaustavljena pred barikado na mostu čez reko Pesnico v Pesnici pri Mariboru za 21 ur. Prebila se je šele naslednji dan. In dokončno obstala za barikado v </w:t>
      </w:r>
      <w:r w:rsidR="003708DA" w:rsidRPr="00C7531F">
        <w:rPr>
          <w:rFonts w:eastAsia="Times New Roman" w:cstheme="minorHAnsi"/>
          <w:sz w:val="28"/>
          <w:szCs w:val="28"/>
        </w:rPr>
        <w:lastRenderedPageBreak/>
        <w:t xml:space="preserve">Štrihovcu naslednjega dne. </w:t>
      </w:r>
      <w:r w:rsidR="004179E0" w:rsidRPr="00C7531F">
        <w:rPr>
          <w:rFonts w:eastAsia="Times New Roman" w:cstheme="minorHAnsi"/>
          <w:sz w:val="28"/>
          <w:szCs w:val="28"/>
        </w:rPr>
        <w:t>Prvi večji spopad v Šentilju je bil 30. junija med obkoljevanjem enot JLA, ki so bile razporejene okoli mejnega prehoda Šentilj. Odločilni spopad z enotami JLA pa je bil 2. julija.</w:t>
      </w:r>
      <w:r w:rsidR="00F0129F" w:rsidRPr="00C7531F">
        <w:rPr>
          <w:rFonts w:eastAsia="Times New Roman" w:cstheme="minorHAnsi"/>
          <w:sz w:val="28"/>
          <w:szCs w:val="28"/>
        </w:rPr>
        <w:t xml:space="preserve"> </w:t>
      </w:r>
    </w:p>
    <w:p w14:paraId="6770EBD1" w14:textId="72139C98" w:rsidR="004931E5" w:rsidRPr="00C7531F" w:rsidRDefault="004931E5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756B7418" w14:textId="7CE7A432" w:rsidR="004931E5" w:rsidRPr="00AD0153" w:rsidRDefault="004931E5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</w:rPr>
      </w:pPr>
      <w:r w:rsidRPr="00C7531F">
        <w:rPr>
          <w:rFonts w:eastAsia="Times New Roman" w:cstheme="minorHAnsi"/>
          <w:sz w:val="28"/>
          <w:szCs w:val="28"/>
        </w:rPr>
        <w:t xml:space="preserve">Na strani 14 </w:t>
      </w:r>
      <w:r w:rsidR="00EA1C9C">
        <w:rPr>
          <w:rFonts w:eastAsia="Times New Roman" w:cstheme="minorHAnsi"/>
          <w:sz w:val="28"/>
          <w:szCs w:val="28"/>
        </w:rPr>
        <w:t>je</w:t>
      </w:r>
      <w:r w:rsidR="00013E3C">
        <w:rPr>
          <w:rFonts w:eastAsia="Times New Roman" w:cstheme="minorHAnsi"/>
          <w:sz w:val="28"/>
          <w:szCs w:val="28"/>
        </w:rPr>
        <w:t xml:space="preserve"> zapisana</w:t>
      </w:r>
      <w:r w:rsidR="00EA1C9C">
        <w:rPr>
          <w:rFonts w:eastAsia="Times New Roman" w:cstheme="minorHAnsi"/>
          <w:sz w:val="28"/>
          <w:szCs w:val="28"/>
        </w:rPr>
        <w:t xml:space="preserve"> </w:t>
      </w:r>
      <w:r w:rsidRPr="00C7531F">
        <w:rPr>
          <w:rFonts w:eastAsia="Times New Roman" w:cstheme="minorHAnsi"/>
          <w:sz w:val="28"/>
          <w:szCs w:val="28"/>
        </w:rPr>
        <w:t xml:space="preserve">še ena </w:t>
      </w:r>
      <w:r w:rsidR="00013E3C">
        <w:rPr>
          <w:rFonts w:eastAsia="Times New Roman" w:cstheme="minorHAnsi"/>
          <w:sz w:val="28"/>
          <w:szCs w:val="28"/>
        </w:rPr>
        <w:t>velika neresnica</w:t>
      </w:r>
      <w:r w:rsidRPr="00C7531F">
        <w:rPr>
          <w:rFonts w:eastAsia="Times New Roman" w:cstheme="minorHAnsi"/>
          <w:sz w:val="28"/>
          <w:szCs w:val="28"/>
        </w:rPr>
        <w:t xml:space="preserve">, da je JLA streljala na neoborožene ljudi v času Pekrskih dogodkov. </w:t>
      </w:r>
      <w:r w:rsidR="00AD0153" w:rsidRPr="0050112B">
        <w:rPr>
          <w:rFonts w:eastAsia="Times New Roman" w:cstheme="minorHAnsi"/>
          <w:sz w:val="28"/>
          <w:szCs w:val="28"/>
        </w:rPr>
        <w:t xml:space="preserve">V času pekrskih dogodkov, točneje 23. maja 1991, jugoslovanska armada NI streljala na </w:t>
      </w:r>
      <w:r w:rsidR="00013E3C" w:rsidRPr="0050112B">
        <w:rPr>
          <w:rFonts w:eastAsia="Times New Roman" w:cstheme="minorHAnsi"/>
          <w:sz w:val="28"/>
          <w:szCs w:val="28"/>
        </w:rPr>
        <w:t>neoborožene ljudi, niti ni prišlo do spopada z miličniki posebne enote milice.</w:t>
      </w:r>
    </w:p>
    <w:p w14:paraId="55FE7D10" w14:textId="1F10C354" w:rsidR="003708DA" w:rsidRPr="00C7531F" w:rsidRDefault="003708DA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6122324C" w14:textId="7F5166FA" w:rsidR="003708DA" w:rsidRPr="00C7531F" w:rsidRDefault="003708DA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C7531F">
        <w:rPr>
          <w:rFonts w:eastAsia="Times New Roman" w:cstheme="minorHAnsi"/>
          <w:sz w:val="28"/>
          <w:szCs w:val="28"/>
        </w:rPr>
        <w:t>Več lahko preberete v zborniku »Vzhodnoštajerska pokrajina v procesih osamosvajanja</w:t>
      </w:r>
      <w:r w:rsidR="004855D4" w:rsidRPr="00C7531F">
        <w:rPr>
          <w:rFonts w:eastAsia="Times New Roman" w:cstheme="minorHAnsi"/>
          <w:sz w:val="28"/>
          <w:szCs w:val="28"/>
        </w:rPr>
        <w:t>«.</w:t>
      </w:r>
    </w:p>
    <w:p w14:paraId="24CFA774" w14:textId="77777777" w:rsidR="004179E0" w:rsidRPr="00C7531F" w:rsidRDefault="004179E0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1E26B31B" w14:textId="23D26A8A" w:rsidR="00B95EDB" w:rsidRPr="00C7531F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  <w:r w:rsidRPr="00C7531F">
        <w:rPr>
          <w:rFonts w:eastAsia="Times New Roman" w:cstheme="minorHAnsi"/>
          <w:sz w:val="28"/>
          <w:szCs w:val="28"/>
        </w:rPr>
        <w:t>Pišete: »</w:t>
      </w:r>
      <w:r w:rsidRPr="00C7531F">
        <w:rPr>
          <w:rFonts w:eastAsia="Times New Roman" w:cstheme="minorHAnsi"/>
          <w:i/>
          <w:iCs/>
          <w:sz w:val="28"/>
          <w:szCs w:val="28"/>
        </w:rPr>
        <w:t>Publikacija, ki jo bodo prebivalci Slovenije našli v svojih poštnih nabiralnikih, bo imela pomembno vlogo tudi v vzgojno-izobraževalnem sistemu</w:t>
      </w:r>
      <w:r w:rsidRPr="00C7531F">
        <w:rPr>
          <w:rFonts w:eastAsia="Times New Roman" w:cstheme="minorHAnsi"/>
          <w:sz w:val="28"/>
          <w:szCs w:val="28"/>
        </w:rPr>
        <w:t>«. Žalosti nas, ker ste očitno netočnost na davkoplačevalske stroške razširili med državljankami in državljani Slovenije. Prav bi bilo, da v zvezi z dogajanjem ob mednarodnem mejnem prehodu Šentilj celovito in objektivno seznanite javnost in se opravičite tako miličnikom kot pripadnikom TO, ki so tam in tedaj poskrbeli, </w:t>
      </w:r>
      <w:r w:rsidRPr="00C7531F">
        <w:rPr>
          <w:rFonts w:eastAsia="Times New Roman" w:cstheme="minorHAnsi"/>
          <w:sz w:val="28"/>
          <w:szCs w:val="28"/>
          <w:u w:val="single"/>
        </w:rPr>
        <w:t xml:space="preserve">da mejni prehod Šentilj niti </w:t>
      </w:r>
      <w:r w:rsidR="006123EA" w:rsidRPr="00C7531F">
        <w:rPr>
          <w:rFonts w:eastAsia="Times New Roman" w:cstheme="minorHAnsi"/>
          <w:sz w:val="28"/>
          <w:szCs w:val="28"/>
          <w:u w:val="single"/>
        </w:rPr>
        <w:t xml:space="preserve">za </w:t>
      </w:r>
      <w:r w:rsidRPr="00C7531F">
        <w:rPr>
          <w:rFonts w:eastAsia="Times New Roman" w:cstheme="minorHAnsi"/>
          <w:sz w:val="28"/>
          <w:szCs w:val="28"/>
          <w:u w:val="single"/>
        </w:rPr>
        <w:t>en sam trenutek ni bil pod kontrolo pripadnikov JLA</w:t>
      </w:r>
      <w:r w:rsidRPr="00C7531F">
        <w:rPr>
          <w:rFonts w:eastAsia="Times New Roman" w:cstheme="minorHAnsi"/>
          <w:sz w:val="28"/>
          <w:szCs w:val="28"/>
        </w:rPr>
        <w:t xml:space="preserve">. </w:t>
      </w:r>
    </w:p>
    <w:p w14:paraId="3AA012B5" w14:textId="77777777" w:rsidR="00B95EDB" w:rsidRPr="00C7531F" w:rsidRDefault="00B95EDB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12DFA7FC" w14:textId="28AFD35A" w:rsidR="000E22E2" w:rsidRPr="00C7531F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7531F">
        <w:rPr>
          <w:rFonts w:eastAsia="Times New Roman" w:cstheme="minorHAnsi"/>
          <w:sz w:val="28"/>
          <w:szCs w:val="28"/>
        </w:rPr>
        <w:t xml:space="preserve">Žalosti nas tudi, ker ste docela spregledali uspeh pripadnikov TO iz </w:t>
      </w:r>
      <w:r w:rsidR="001312DB" w:rsidRPr="00C7531F">
        <w:rPr>
          <w:rFonts w:eastAsia="Times New Roman" w:cstheme="minorHAnsi"/>
          <w:sz w:val="28"/>
          <w:szCs w:val="28"/>
        </w:rPr>
        <w:t xml:space="preserve">območja </w:t>
      </w:r>
      <w:r w:rsidRPr="00C7531F">
        <w:rPr>
          <w:rFonts w:eastAsia="Times New Roman" w:cstheme="minorHAnsi"/>
          <w:sz w:val="28"/>
          <w:szCs w:val="28"/>
        </w:rPr>
        <w:t>Slovenske Bistrice, ki so prav tako 2. julija 1991 zavzeli vojaško skladišče Ložnica, kje</w:t>
      </w:r>
      <w:r w:rsidR="006123EA" w:rsidRPr="00C7531F">
        <w:rPr>
          <w:rFonts w:eastAsia="Times New Roman" w:cstheme="minorHAnsi"/>
          <w:sz w:val="28"/>
          <w:szCs w:val="28"/>
        </w:rPr>
        <w:t>r</w:t>
      </w:r>
      <w:r w:rsidRPr="00C7531F">
        <w:rPr>
          <w:rFonts w:eastAsia="Times New Roman" w:cstheme="minorHAnsi"/>
          <w:sz w:val="28"/>
          <w:szCs w:val="28"/>
        </w:rPr>
        <w:t xml:space="preserve"> je bilo več kot 5 tisoč ton minsko eksplozivnih sredstev, ta tovor pa so nato v sedmih dneh razvozili po Pohorju. Oba dogodka sta pomenila preobrat v vojni za Slovenijo</w:t>
      </w:r>
      <w:r w:rsidR="006123EA" w:rsidRPr="00C7531F">
        <w:rPr>
          <w:rFonts w:eastAsia="Times New Roman" w:cstheme="minorHAnsi"/>
          <w:sz w:val="28"/>
          <w:szCs w:val="28"/>
        </w:rPr>
        <w:t>. T</w:t>
      </w:r>
      <w:r w:rsidRPr="00C7531F">
        <w:rPr>
          <w:rFonts w:eastAsia="Times New Roman" w:cstheme="minorHAnsi"/>
          <w:sz w:val="28"/>
          <w:szCs w:val="28"/>
        </w:rPr>
        <w:t>o je nesporno dejstvo, tudi, če komu ta trditev ne ustreza.</w:t>
      </w:r>
    </w:p>
    <w:p w14:paraId="1A30DD0B" w14:textId="77777777" w:rsidR="00F76283" w:rsidRDefault="00F76283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8"/>
          <w:szCs w:val="28"/>
        </w:rPr>
      </w:pPr>
    </w:p>
    <w:p w14:paraId="293C3282" w14:textId="7C3BB8E3" w:rsidR="000E22E2" w:rsidRPr="00C7531F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7531F">
        <w:rPr>
          <w:rFonts w:eastAsia="Times New Roman" w:cstheme="minorHAnsi"/>
          <w:sz w:val="28"/>
          <w:szCs w:val="28"/>
        </w:rPr>
        <w:t xml:space="preserve">Motiti se je človeško, lagati je greh ali pa </w:t>
      </w:r>
      <w:r w:rsidR="001312DB" w:rsidRPr="00C7531F">
        <w:rPr>
          <w:rFonts w:eastAsia="Times New Roman" w:cstheme="minorHAnsi"/>
          <w:sz w:val="28"/>
          <w:szCs w:val="28"/>
        </w:rPr>
        <w:t xml:space="preserve">je </w:t>
      </w:r>
      <w:r w:rsidRPr="00C7531F">
        <w:rPr>
          <w:rFonts w:eastAsia="Times New Roman" w:cstheme="minorHAnsi"/>
          <w:sz w:val="28"/>
          <w:szCs w:val="28"/>
        </w:rPr>
        <w:t>vsaj nespodobno</w:t>
      </w:r>
      <w:r w:rsidR="006123EA" w:rsidRPr="00C7531F">
        <w:rPr>
          <w:rFonts w:eastAsia="Times New Roman" w:cstheme="minorHAnsi"/>
          <w:sz w:val="28"/>
          <w:szCs w:val="28"/>
        </w:rPr>
        <w:t>. O</w:t>
      </w:r>
      <w:r w:rsidRPr="00C7531F">
        <w:rPr>
          <w:rFonts w:eastAsia="Times New Roman" w:cstheme="minorHAnsi"/>
          <w:sz w:val="28"/>
          <w:szCs w:val="28"/>
        </w:rPr>
        <w:t>pravičiti se</w:t>
      </w:r>
      <w:r w:rsidR="003C763F" w:rsidRPr="00C7531F">
        <w:rPr>
          <w:rFonts w:eastAsia="Times New Roman" w:cstheme="minorHAnsi"/>
          <w:sz w:val="28"/>
          <w:szCs w:val="28"/>
        </w:rPr>
        <w:t>,</w:t>
      </w:r>
      <w:r w:rsidRPr="00C7531F">
        <w:rPr>
          <w:rFonts w:eastAsia="Times New Roman" w:cstheme="minorHAnsi"/>
          <w:sz w:val="28"/>
          <w:szCs w:val="28"/>
        </w:rPr>
        <w:t xml:space="preserve"> pa je stvar človeškega dostojanstva. Ga premorete?</w:t>
      </w:r>
    </w:p>
    <w:p w14:paraId="2D7C8CB0" w14:textId="77777777" w:rsidR="000E22E2" w:rsidRPr="00AB2895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</w:rPr>
      </w:pPr>
    </w:p>
    <w:p w14:paraId="056A7567" w14:textId="4EEC0B58" w:rsidR="000E22E2" w:rsidRDefault="000E22E2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</w:rPr>
      </w:pPr>
      <w:r w:rsidRPr="00B95EDB">
        <w:rPr>
          <w:rFonts w:eastAsia="Times New Roman" w:cstheme="minorHAnsi"/>
          <w:color w:val="222222"/>
          <w:sz w:val="28"/>
          <w:szCs w:val="28"/>
        </w:rPr>
        <w:t>Maribor, 1</w:t>
      </w:r>
      <w:r w:rsidR="00013E3C">
        <w:rPr>
          <w:rFonts w:eastAsia="Times New Roman" w:cstheme="minorHAnsi"/>
          <w:color w:val="222222"/>
          <w:sz w:val="28"/>
          <w:szCs w:val="28"/>
        </w:rPr>
        <w:t>4</w:t>
      </w:r>
      <w:r w:rsidRPr="00B95EDB">
        <w:rPr>
          <w:rFonts w:eastAsia="Times New Roman" w:cstheme="minorHAnsi"/>
          <w:color w:val="222222"/>
          <w:sz w:val="28"/>
          <w:szCs w:val="28"/>
        </w:rPr>
        <w:t>. julija 2021</w:t>
      </w:r>
    </w:p>
    <w:p w14:paraId="507C147F" w14:textId="77777777" w:rsidR="00013E3C" w:rsidRPr="00B95EDB" w:rsidRDefault="00013E3C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</w:p>
    <w:p w14:paraId="0AC10435" w14:textId="338586CB" w:rsidR="00D04E06" w:rsidRPr="00AB2895" w:rsidRDefault="00D04E06" w:rsidP="000E22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41474" w14:paraId="56FC1443" w14:textId="77777777" w:rsidTr="00641474">
        <w:tc>
          <w:tcPr>
            <w:tcW w:w="4508" w:type="dxa"/>
          </w:tcPr>
          <w:p w14:paraId="50E85A8A" w14:textId="79CFB79B" w:rsidR="00641474" w:rsidRDefault="00641474" w:rsidP="00641474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</w:rPr>
            </w:pPr>
            <w:r>
              <w:rPr>
                <w:rFonts w:eastAsia="Times New Roman" w:cstheme="minorHAnsi"/>
                <w:color w:val="222222"/>
                <w:sz w:val="28"/>
                <w:szCs w:val="28"/>
              </w:rPr>
              <w:t>Območno združenje VVS občin Kungota, Pesnica in Šentilj</w:t>
            </w:r>
          </w:p>
          <w:p w14:paraId="62FDC783" w14:textId="30C3B6F0" w:rsidR="00641474" w:rsidRDefault="00641474" w:rsidP="00641474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</w:rPr>
            </w:pPr>
            <w:r>
              <w:rPr>
                <w:rFonts w:eastAsia="Times New Roman" w:cstheme="minorHAnsi"/>
                <w:color w:val="222222"/>
                <w:sz w:val="28"/>
                <w:szCs w:val="28"/>
              </w:rPr>
              <w:t>Srečko Cehnar, predsednik</w:t>
            </w:r>
          </w:p>
        </w:tc>
        <w:tc>
          <w:tcPr>
            <w:tcW w:w="4508" w:type="dxa"/>
          </w:tcPr>
          <w:p w14:paraId="5989EA5D" w14:textId="77777777" w:rsidR="00641474" w:rsidRDefault="00641474" w:rsidP="00641474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</w:rPr>
            </w:pPr>
            <w:r>
              <w:rPr>
                <w:rFonts w:eastAsia="Times New Roman" w:cstheme="minorHAnsi"/>
                <w:color w:val="222222"/>
                <w:sz w:val="28"/>
                <w:szCs w:val="28"/>
              </w:rPr>
              <w:t>Policijsko veteransko društvo Sever Maribor</w:t>
            </w:r>
          </w:p>
          <w:p w14:paraId="3CDBCAB3" w14:textId="16374824" w:rsidR="00641474" w:rsidRDefault="00641474" w:rsidP="00641474">
            <w:pPr>
              <w:spacing w:line="240" w:lineRule="auto"/>
              <w:jc w:val="center"/>
              <w:rPr>
                <w:rFonts w:eastAsia="Times New Roman" w:cstheme="minorHAnsi"/>
                <w:color w:val="222222"/>
                <w:sz w:val="28"/>
                <w:szCs w:val="28"/>
              </w:rPr>
            </w:pPr>
            <w:r>
              <w:rPr>
                <w:rFonts w:eastAsia="Times New Roman" w:cstheme="minorHAnsi"/>
                <w:color w:val="222222"/>
                <w:sz w:val="28"/>
                <w:szCs w:val="28"/>
              </w:rPr>
              <w:t>Darko Šorli, predsednik</w:t>
            </w:r>
          </w:p>
        </w:tc>
      </w:tr>
    </w:tbl>
    <w:p w14:paraId="148DA51E" w14:textId="77777777" w:rsidR="00BF2A85" w:rsidRPr="00C63431" w:rsidRDefault="00BF2A85" w:rsidP="00C40125">
      <w:pPr>
        <w:spacing w:after="0" w:line="276" w:lineRule="auto"/>
        <w:rPr>
          <w:rFonts w:ascii="Cambria" w:eastAsia="Cambria" w:hAnsi="Cambria" w:cs="Cambria"/>
          <w:sz w:val="24"/>
          <w:szCs w:val="24"/>
        </w:rPr>
      </w:pPr>
    </w:p>
    <w:sectPr w:rsidR="00BF2A85" w:rsidRPr="00C63431" w:rsidSect="004377A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D061B" w14:textId="77777777" w:rsidR="001077C0" w:rsidRDefault="001077C0" w:rsidP="00C15E61">
      <w:pPr>
        <w:spacing w:after="0" w:line="240" w:lineRule="auto"/>
      </w:pPr>
      <w:r>
        <w:separator/>
      </w:r>
    </w:p>
  </w:endnote>
  <w:endnote w:type="continuationSeparator" w:id="0">
    <w:p w14:paraId="3A7CBC44" w14:textId="77777777" w:rsidR="001077C0" w:rsidRDefault="001077C0" w:rsidP="00C1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925F2" w14:textId="77777777" w:rsidR="001077C0" w:rsidRDefault="001077C0" w:rsidP="00C15E61">
      <w:pPr>
        <w:spacing w:after="0" w:line="240" w:lineRule="auto"/>
      </w:pPr>
      <w:r>
        <w:separator/>
      </w:r>
    </w:p>
  </w:footnote>
  <w:footnote w:type="continuationSeparator" w:id="0">
    <w:p w14:paraId="131D0403" w14:textId="77777777" w:rsidR="001077C0" w:rsidRDefault="001077C0" w:rsidP="00C1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229D6" w14:textId="0E74D94D" w:rsidR="00C95981" w:rsidRDefault="00C95981" w:rsidP="00C15E61">
    <w:pPr>
      <w:pStyle w:val="Glava"/>
      <w:jc w:val="center"/>
    </w:pPr>
  </w:p>
  <w:p w14:paraId="280BB9A8" w14:textId="77777777" w:rsidR="00C95981" w:rsidRDefault="00C9598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61"/>
    <w:rsid w:val="00007601"/>
    <w:rsid w:val="00013E3C"/>
    <w:rsid w:val="000E1875"/>
    <w:rsid w:val="000E22E2"/>
    <w:rsid w:val="001077C0"/>
    <w:rsid w:val="0011231B"/>
    <w:rsid w:val="00122E52"/>
    <w:rsid w:val="001312DB"/>
    <w:rsid w:val="00174B13"/>
    <w:rsid w:val="00195725"/>
    <w:rsid w:val="001F7FB0"/>
    <w:rsid w:val="00206611"/>
    <w:rsid w:val="00217218"/>
    <w:rsid w:val="0024715A"/>
    <w:rsid w:val="00294A8B"/>
    <w:rsid w:val="002A43F4"/>
    <w:rsid w:val="002A52ED"/>
    <w:rsid w:val="002E6321"/>
    <w:rsid w:val="00306FB5"/>
    <w:rsid w:val="00313DCB"/>
    <w:rsid w:val="00336C21"/>
    <w:rsid w:val="00352511"/>
    <w:rsid w:val="003641A1"/>
    <w:rsid w:val="003708DA"/>
    <w:rsid w:val="0037392F"/>
    <w:rsid w:val="003942D5"/>
    <w:rsid w:val="003B1734"/>
    <w:rsid w:val="003C763F"/>
    <w:rsid w:val="003D5A3C"/>
    <w:rsid w:val="004179E0"/>
    <w:rsid w:val="0042564E"/>
    <w:rsid w:val="00433257"/>
    <w:rsid w:val="004377AC"/>
    <w:rsid w:val="004855D4"/>
    <w:rsid w:val="004931E5"/>
    <w:rsid w:val="004C1202"/>
    <w:rsid w:val="0050112B"/>
    <w:rsid w:val="00502A8F"/>
    <w:rsid w:val="00503B55"/>
    <w:rsid w:val="0053776C"/>
    <w:rsid w:val="005E45C7"/>
    <w:rsid w:val="005E7AB6"/>
    <w:rsid w:val="006123EA"/>
    <w:rsid w:val="00640A90"/>
    <w:rsid w:val="00641474"/>
    <w:rsid w:val="00642A1C"/>
    <w:rsid w:val="00676F2B"/>
    <w:rsid w:val="006900A2"/>
    <w:rsid w:val="006A03BC"/>
    <w:rsid w:val="007107FB"/>
    <w:rsid w:val="00713BC8"/>
    <w:rsid w:val="007720D5"/>
    <w:rsid w:val="007A7B4A"/>
    <w:rsid w:val="0082004E"/>
    <w:rsid w:val="00851784"/>
    <w:rsid w:val="008B25D9"/>
    <w:rsid w:val="008F0C1C"/>
    <w:rsid w:val="00922A3F"/>
    <w:rsid w:val="009502A1"/>
    <w:rsid w:val="00981AF3"/>
    <w:rsid w:val="009948A2"/>
    <w:rsid w:val="009B4619"/>
    <w:rsid w:val="009C643A"/>
    <w:rsid w:val="00A1233C"/>
    <w:rsid w:val="00A173D8"/>
    <w:rsid w:val="00A70CDC"/>
    <w:rsid w:val="00A949FA"/>
    <w:rsid w:val="00AA5747"/>
    <w:rsid w:val="00AB2895"/>
    <w:rsid w:val="00AD0153"/>
    <w:rsid w:val="00B14D1F"/>
    <w:rsid w:val="00B33CEF"/>
    <w:rsid w:val="00B469E7"/>
    <w:rsid w:val="00B95EDB"/>
    <w:rsid w:val="00BF2A85"/>
    <w:rsid w:val="00C05A3F"/>
    <w:rsid w:val="00C15E61"/>
    <w:rsid w:val="00C27D26"/>
    <w:rsid w:val="00C40125"/>
    <w:rsid w:val="00C56DF1"/>
    <w:rsid w:val="00C63431"/>
    <w:rsid w:val="00C66A35"/>
    <w:rsid w:val="00C73B63"/>
    <w:rsid w:val="00C7531F"/>
    <w:rsid w:val="00C95981"/>
    <w:rsid w:val="00CC557C"/>
    <w:rsid w:val="00D04215"/>
    <w:rsid w:val="00D04E06"/>
    <w:rsid w:val="00D202CE"/>
    <w:rsid w:val="00D246BF"/>
    <w:rsid w:val="00D365EE"/>
    <w:rsid w:val="00D97519"/>
    <w:rsid w:val="00E7004A"/>
    <w:rsid w:val="00E81287"/>
    <w:rsid w:val="00EA1C9C"/>
    <w:rsid w:val="00EA2212"/>
    <w:rsid w:val="00EB0373"/>
    <w:rsid w:val="00ED7076"/>
    <w:rsid w:val="00F0129F"/>
    <w:rsid w:val="00F14D65"/>
    <w:rsid w:val="00F337F8"/>
    <w:rsid w:val="00F37D88"/>
    <w:rsid w:val="00F51DCB"/>
    <w:rsid w:val="00F76283"/>
    <w:rsid w:val="00FA228C"/>
    <w:rsid w:val="00FC06B0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BF10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6611"/>
    <w:pPr>
      <w:spacing w:line="25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5E6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15E61"/>
  </w:style>
  <w:style w:type="paragraph" w:styleId="Noga">
    <w:name w:val="footer"/>
    <w:basedOn w:val="Navaden"/>
    <w:link w:val="NogaZnak"/>
    <w:uiPriority w:val="99"/>
    <w:unhideWhenUsed/>
    <w:rsid w:val="00C15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5E6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2A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2A1C"/>
    <w:rPr>
      <w:rFonts w:ascii="Lucida Grande" w:eastAsiaTheme="minorEastAsia" w:hAnsi="Lucida Grande"/>
      <w:sz w:val="18"/>
      <w:szCs w:val="1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1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64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6611"/>
    <w:pPr>
      <w:spacing w:line="25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15E6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C15E61"/>
  </w:style>
  <w:style w:type="paragraph" w:styleId="Noga">
    <w:name w:val="footer"/>
    <w:basedOn w:val="Navaden"/>
    <w:link w:val="NogaZnak"/>
    <w:uiPriority w:val="99"/>
    <w:unhideWhenUsed/>
    <w:rsid w:val="00C15E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5E6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2A1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2A1C"/>
    <w:rPr>
      <w:rFonts w:ascii="Lucida Grande" w:eastAsiaTheme="minorEastAsia" w:hAnsi="Lucida Grande"/>
      <w:sz w:val="18"/>
      <w:szCs w:val="1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1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mrea">
    <w:name w:val="Table Grid"/>
    <w:basedOn w:val="Navadnatabela"/>
    <w:uiPriority w:val="39"/>
    <w:rsid w:val="0064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B7D83D-C18C-4013-8D73-CAA9AF86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OZVVS KPŠ</dc:creator>
  <cp:lastModifiedBy>Drago</cp:lastModifiedBy>
  <cp:revision>2</cp:revision>
  <cp:lastPrinted>2021-05-26T19:16:00Z</cp:lastPrinted>
  <dcterms:created xsi:type="dcterms:W3CDTF">2021-07-24T05:49:00Z</dcterms:created>
  <dcterms:modified xsi:type="dcterms:W3CDTF">2021-07-24T05:49:00Z</dcterms:modified>
</cp:coreProperties>
</file>